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1677035</wp:posOffset>
            </wp:positionH>
            <wp:positionV relativeFrom="paragraph">
              <wp:posOffset>309245</wp:posOffset>
            </wp:positionV>
            <wp:extent cx="4761865"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1865" cy="43688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2880" w:right="439" w:hanging="2457"/>
        <w:spacing w:after="0" w:line="532" w:lineRule="auto"/>
        <w:tabs>
          <w:tab w:leader="none" w:pos="71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2025</w:t>
      </w:r>
    </w:p>
    <w:p>
      <w:pPr>
        <w:ind w:left="4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420" w:hanging="114"/>
        <w:spacing w:after="0"/>
        <w:tabs>
          <w:tab w:leader="none" w:pos="4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TRANSITION REPORT PURSUANT TO SECTION 15(d) OF THE SECURITIES EXCHANGE ACT OF 1934</w:t>
      </w:r>
    </w:p>
    <w:p>
      <w:pPr>
        <w:spacing w:after="0" w:line="263" w:lineRule="exact"/>
        <w:rPr>
          <w:rFonts w:ascii="Times New Roman" w:cs="Times New Roman" w:eastAsia="Times New Roman" w:hAnsi="Times New Roman"/>
          <w:sz w:val="17"/>
          <w:szCs w:val="17"/>
          <w:color w:val="auto"/>
        </w:rPr>
      </w:pPr>
    </w:p>
    <w:p>
      <w:pPr>
        <w:ind w:left="2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the transition period from _______ to _______</w:t>
      </w:r>
    </w:p>
    <w:p>
      <w:pPr>
        <w:spacing w:after="0" w:line="252" w:lineRule="exact"/>
        <w:rPr>
          <w:rFonts w:ascii="Times New Roman" w:cs="Times New Roman" w:eastAsia="Times New Roman" w:hAnsi="Times New Roman"/>
          <w:sz w:val="17"/>
          <w:szCs w:val="17"/>
          <w:color w:val="auto"/>
        </w:rPr>
      </w:pPr>
    </w:p>
    <w:p>
      <w:pPr>
        <w:ind w:left="3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Commission File Number 1-12298</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REGENCY CENTERS 401(k) PROFIT SHARING PLAN</w:t>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REGENCY CENTERS CORPORATION</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One Independent Drive, Suite 114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Jacksonville, Florida 32202</w:t>
      </w:r>
    </w:p>
    <w:p>
      <w:pPr>
        <w:jc w:val="center"/>
        <w:ind w:right="19"/>
        <w:spacing w:after="0"/>
        <w:rPr>
          <w:sz w:val="20"/>
          <w:szCs w:val="20"/>
          <w:color w:val="auto"/>
        </w:rPr>
      </w:pPr>
      <w:r>
        <w:rPr>
          <w:rFonts w:ascii="Times New Roman" w:cs="Times New Roman" w:eastAsia="Times New Roman" w:hAnsi="Times New Roman"/>
          <w:sz w:val="22"/>
          <w:szCs w:val="22"/>
          <w:color w:val="auto"/>
        </w:rPr>
        <w:t>(904) 598-7000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1054735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372745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424180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Report Page</w:t>
            </w:r>
          </w:p>
        </w:tc>
      </w:tr>
      <w:tr>
        <w:trPr>
          <w:trHeight w:val="601"/>
        </w:trPr>
        <w:tc>
          <w:tcPr>
            <w:tcW w:w="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Report of Independent Registered Public Accounting Firm</w:t>
            </w:r>
          </w:p>
        </w:tc>
        <w:tc>
          <w:tcPr>
            <w:tcW w:w="5800" w:type="dxa"/>
            <w:vAlign w:val="bottom"/>
            <w:gridSpan w:val="4"/>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4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8"/>
              </w:rPr>
              <w:t>Notes to Financial Statements</w:t>
            </w:r>
          </w:p>
        </w:tc>
        <w:tc>
          <w:tcPr>
            <w:tcW w:w="3460" w:type="dxa"/>
            <w:vAlign w:val="bottom"/>
            <w:tcBorders>
              <w:top w:val="single" w:sz="8" w:color="0000EE"/>
            </w:tcBorders>
            <w:gridSpan w:val="4"/>
          </w:tcPr>
          <w:p>
            <w:pPr>
              <w:spacing w:after="0"/>
              <w:rPr>
                <w:sz w:val="24"/>
                <w:szCs w:val="24"/>
                <w:color w:val="auto"/>
              </w:rPr>
            </w:pPr>
          </w:p>
        </w:tc>
        <w:tc>
          <w:tcPr>
            <w:tcW w:w="34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453"/>
        </w:trPr>
        <w:tc>
          <w:tcPr>
            <w:tcW w:w="4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Supplemental Schedule as of December 31, 2025:</w:t>
            </w:r>
          </w:p>
        </w:tc>
        <w:tc>
          <w:tcPr>
            <w:tcW w:w="1180" w:type="dxa"/>
            <w:vAlign w:val="bottom"/>
          </w:tcPr>
          <w:p>
            <w:pPr>
              <w:spacing w:after="0"/>
              <w:rPr>
                <w:sz w:val="24"/>
                <w:szCs w:val="24"/>
                <w:color w:val="auto"/>
              </w:rPr>
            </w:pPr>
          </w:p>
        </w:tc>
      </w:tr>
      <w:tr>
        <w:trPr>
          <w:trHeight w:val="391"/>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4480" w:type="dxa"/>
            <w:vAlign w:val="bottom"/>
            <w:gridSpan w:val="2"/>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412"/>
        </w:trPr>
        <w:tc>
          <w:tcPr>
            <w:tcW w:w="4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Signature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4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1243"/>
        </w:trPr>
        <w:tc>
          <w:tcPr>
            <w:tcW w:w="40" w:type="dxa"/>
            <w:vAlign w:val="bottom"/>
            <w:tcBorders>
              <w:bottom w:val="single" w:sz="8" w:color="9A9A9A"/>
            </w:tcBorders>
          </w:tcPr>
          <w:p>
            <w:pPr>
              <w:spacing w:after="0"/>
              <w:rPr>
                <w:sz w:val="24"/>
                <w:szCs w:val="24"/>
                <w:color w:val="auto"/>
              </w:rPr>
            </w:pPr>
          </w:p>
        </w:tc>
        <w:tc>
          <w:tcPr>
            <w:tcW w:w="68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720"/>
        <w:spacing w:after="0" w:line="282" w:lineRule="auto"/>
        <w:rPr>
          <w:sz w:val="20"/>
          <w:szCs w:val="20"/>
          <w:color w:val="auto"/>
        </w:rPr>
      </w:pPr>
      <w:r>
        <w:rPr>
          <w:rFonts w:ascii="Times New Roman" w:cs="Times New Roman" w:eastAsia="Times New Roman" w:hAnsi="Times New Roman"/>
          <w:sz w:val="18"/>
          <w:szCs w:val="18"/>
          <w:color w:val="auto"/>
        </w:rPr>
        <w:t>Participants and the Audit and Employee Benefits and Retirement Investment Committees Regency Centers 401(k) Profit Sharing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Regency Centers 401(k) Profit Sharing Plan (the Plan) as of December 31, 2025 and 2024, the related statement of changes in net assets available for benefits for the year ended December 31, 2025, and the related notes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Opinion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w:t>
      </w:r>
    </w:p>
    <w:p>
      <w:pPr>
        <w:spacing w:after="0" w:line="13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on Supplemental Information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supplemental information in the accompanying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Times New Roman" w:cs="Times New Roman" w:eastAsia="Times New Roman" w:hAnsi="Times New Roman"/>
          <w:sz w:val="18"/>
          <w:szCs w:val="18"/>
          <w:i w:val="1"/>
          <w:iCs w:val="1"/>
          <w:color w:val="auto"/>
        </w:rPr>
        <w:t>Employee Retirement Income Security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1974</w:t>
      </w:r>
      <w:r>
        <w:rPr>
          <w:rFonts w:ascii="Times New Roman" w:cs="Times New Roman" w:eastAsia="Times New Roman" w:hAnsi="Times New Roman"/>
          <w:sz w:val="18"/>
          <w:szCs w:val="18"/>
          <w:color w:val="auto"/>
        </w:rPr>
        <w:t>. In our opinion, the schedule of assets (held at end of year) is fairly stated, in all material respects, in relation to the basic financial statements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whole.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0" w:type="dxa"/>
            <w:vAlign w:val="bottom"/>
            <w:gridSpan w:val="2"/>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380" w:type="dxa"/>
            <w:vAlign w:val="bottom"/>
            <w:gridSpan w:val="2"/>
            <w:shd w:val="clear" w:color="auto" w:fill="CFF0FC"/>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Common/collective trusts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34,259,968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31,538,124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Mutual funds</w:t>
            </w: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132,947,561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111,203,112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Self-directed accounts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10,746,270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8,576,758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Regency Centers Corporation common stock fund</w:t>
            </w:r>
          </w:p>
        </w:tc>
        <w:tc>
          <w:tcPr>
            <w:tcW w:w="2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8,583,381</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9,190,695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186,717,533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160,617,362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1,034,128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3,476,918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2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4,605,457</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4,632,148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191,322,990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165,249,510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2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191,322,990</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165,249,510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-2767965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-1653540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 of Changes in Net Assets Available for Benefits</w:t>
      </w:r>
    </w:p>
    <w:p>
      <w:pPr>
        <w:jc w:val="center"/>
        <w:spacing w:after="0"/>
        <w:rPr>
          <w:sz w:val="20"/>
          <w:szCs w:val="20"/>
          <w:color w:val="auto"/>
        </w:rPr>
      </w:pPr>
      <w:r>
        <w:rPr>
          <w:rFonts w:ascii="Times New Roman" w:cs="Times New Roman" w:eastAsia="Times New Roman" w:hAnsi="Times New Roman"/>
          <w:sz w:val="22"/>
          <w:szCs w:val="22"/>
          <w:color w:val="auto"/>
        </w:rPr>
        <w:t>Year ended December 31,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21,340,570</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dividends, and other income</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2,978,309</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93,492</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w:t>
            </w:r>
          </w:p>
        </w:tc>
        <w:tc>
          <w:tcPr>
            <w:tcW w:w="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5,802,605</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5,880,817</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Rollovers</w:t>
            </w: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880,116</w:t>
            </w:r>
          </w:p>
        </w:tc>
        <w:tc>
          <w:tcPr>
            <w:tcW w:w="100" w:type="dxa"/>
            <w:vAlign w:val="bottom"/>
          </w:tcPr>
          <w:p>
            <w:pPr>
              <w:spacing w:after="0"/>
              <w:rPr>
                <w:sz w:val="18"/>
                <w:szCs w:val="18"/>
                <w:color w:val="auto"/>
              </w:rPr>
            </w:pPr>
          </w:p>
        </w:tc>
      </w:tr>
      <w:tr>
        <w:trPr>
          <w:trHeight w:val="209"/>
        </w:trPr>
        <w:tc>
          <w:tcPr>
            <w:tcW w:w="8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contributions</w:t>
            </w:r>
          </w:p>
        </w:tc>
        <w:tc>
          <w:tcPr>
            <w:tcW w:w="7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12,563,538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additions</w:t>
            </w:r>
          </w:p>
        </w:tc>
        <w:tc>
          <w:tcPr>
            <w:tcW w:w="7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36,975,909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10,762,799</w:t>
            </w:r>
          </w:p>
        </w:tc>
        <w:tc>
          <w:tcPr>
            <w:tcW w:w="100" w:type="dxa"/>
            <w:vAlign w:val="bottom"/>
          </w:tcPr>
          <w:p>
            <w:pPr>
              <w:spacing w:after="0"/>
              <w:rPr>
                <w:sz w:val="18"/>
                <w:szCs w:val="18"/>
                <w:color w:val="auto"/>
              </w:rPr>
            </w:pPr>
          </w:p>
        </w:tc>
      </w:tr>
      <w:tr>
        <w:trPr>
          <w:trHeight w:val="216"/>
        </w:trPr>
        <w:tc>
          <w:tcPr>
            <w:tcW w:w="8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Administrative expenses</w:t>
            </w:r>
          </w:p>
        </w:tc>
        <w:tc>
          <w:tcPr>
            <w:tcW w:w="7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deductions</w:t>
            </w: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10,902,429</w:t>
            </w:r>
          </w:p>
        </w:tc>
        <w:tc>
          <w:tcPr>
            <w:tcW w:w="100" w:type="dxa"/>
            <w:vAlign w:val="bottom"/>
          </w:tcPr>
          <w:p>
            <w:pPr>
              <w:spacing w:after="0"/>
              <w:rPr>
                <w:sz w:val="18"/>
                <w:szCs w:val="18"/>
                <w:color w:val="auto"/>
              </w:rPr>
            </w:pPr>
          </w:p>
        </w:tc>
      </w:tr>
      <w:tr>
        <w:trPr>
          <w:trHeight w:val="209"/>
        </w:trPr>
        <w:tc>
          <w:tcPr>
            <w:tcW w:w="8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increase</w:t>
            </w:r>
          </w:p>
        </w:tc>
        <w:tc>
          <w:tcPr>
            <w:tcW w:w="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26,073,480</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165,249,510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191,322,990</w:t>
            </w:r>
          </w:p>
        </w:tc>
        <w:tc>
          <w:tcPr>
            <w:tcW w:w="10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ind w:right="-11"/>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0"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02" w:lineRule="exact"/>
        <w:rPr>
          <w:rFonts w:ascii="Times New Roman" w:cs="Times New Roman" w:eastAsia="Times New Roman" w:hAnsi="Times New Roman"/>
          <w:sz w:val="18"/>
          <w:szCs w:val="18"/>
          <w:b w:val="1"/>
          <w:bCs w:val="1"/>
          <w:color w:val="auto"/>
        </w:rPr>
      </w:pPr>
    </w:p>
    <w:p>
      <w:pPr>
        <w:ind w:left="372" w:righ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Regency Centers 401(k) Profit Sharing Plan (“the Plan”) is provided for general information purposes only. Participants should refer to the plan document for a more complete description of the Plan’s provisions.</w:t>
      </w:r>
    </w:p>
    <w:p>
      <w:pPr>
        <w:spacing w:after="0" w:line="117" w:lineRule="exact"/>
        <w:rPr>
          <w:rFonts w:ascii="Times New Roman" w:cs="Times New Roman" w:eastAsia="Times New Roman" w:hAnsi="Times New Roman"/>
          <w:sz w:val="18"/>
          <w:szCs w:val="18"/>
          <w:b w:val="1"/>
          <w:bCs w:val="1"/>
          <w:color w:val="auto"/>
        </w:rPr>
      </w:pPr>
    </w:p>
    <w:p>
      <w:pPr>
        <w:ind w:left="752" w:hanging="378"/>
        <w:spacing w:after="0"/>
        <w:tabs>
          <w:tab w:leader="none" w:pos="752"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p>
    <w:p>
      <w:pPr>
        <w:spacing w:after="0" w:line="188" w:lineRule="exact"/>
        <w:rPr>
          <w:rFonts w:ascii="Times New Roman" w:cs="Times New Roman" w:eastAsia="Times New Roman" w:hAnsi="Times New Roman"/>
          <w:sz w:val="18"/>
          <w:szCs w:val="18"/>
          <w:b w:val="1"/>
          <w:bCs w:val="1"/>
          <w:i w:val="1"/>
          <w:iCs w:val="1"/>
          <w:color w:val="auto"/>
        </w:rPr>
      </w:pPr>
    </w:p>
    <w:p>
      <w:pPr>
        <w:ind w:left="752"/>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is a 401(k) and profit sharing defined contribution retirement plan covering all eligible employees of Regency Centers Corporation and its subsidiaries and affiliates (“the Company”), who are at least 18 years of age. Employees become eligible the first day of the quarter following the employee's date of hire. The Plan is subject to the provisions of the Employee Retirement Income Security Act of 1974, as amended (“ERISA”).</w:t>
      </w:r>
    </w:p>
    <w:p>
      <w:pPr>
        <w:spacing w:after="0" w:line="148" w:lineRule="exact"/>
        <w:rPr>
          <w:rFonts w:ascii="Times New Roman" w:cs="Times New Roman" w:eastAsia="Times New Roman" w:hAnsi="Times New Roman"/>
          <w:sz w:val="18"/>
          <w:szCs w:val="18"/>
          <w:b w:val="1"/>
          <w:bCs w:val="1"/>
          <w:i w:val="1"/>
          <w:iCs w:val="1"/>
          <w:color w:val="auto"/>
        </w:rPr>
      </w:pPr>
    </w:p>
    <w:p>
      <w:pPr>
        <w:ind w:left="752" w:hanging="378"/>
        <w:spacing w:after="0"/>
        <w:tabs>
          <w:tab w:leader="none" w:pos="752"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Contributions</w:t>
      </w:r>
    </w:p>
    <w:p>
      <w:pPr>
        <w:spacing w:after="0" w:line="188" w:lineRule="exact"/>
        <w:rPr>
          <w:rFonts w:ascii="Times New Roman" w:cs="Times New Roman" w:eastAsia="Times New Roman" w:hAnsi="Times New Roman"/>
          <w:sz w:val="18"/>
          <w:szCs w:val="18"/>
          <w:b w:val="1"/>
          <w:bCs w:val="1"/>
          <w:i w:val="1"/>
          <w:iCs w:val="1"/>
          <w:color w:val="auto"/>
        </w:rPr>
      </w:pPr>
    </w:p>
    <w:p>
      <w:pPr>
        <w:ind w:left="752" w:right="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Each eligible employee is automatically enrolled in the Plan, at a contribution rate of 6% on a pre-tax basis, and becomes a participant of the Plan, unless the employee elects to decline participation within 45 days of his or her eligibility date. Participants who are automatically enrolled but do not make investment elections have their contributions allocated to one of eleven designated Vanguard age-based retirement target date funds until changed by the participant. Additionally, on an annual basis, employee deferrals are automatically increased by 1%, up to a maximum contribution rate of 15%, unless the employee elects to decline. During 2025, participants may contribute up to $23,500 of annual compensation, on a pre-tax or after-tax basis, as defined in the Plan. Participants who are or will attain age 50 before the end of the Plan year may elect to defer additional amounts up to $7,500 (“catch-up contributions”) to the Plan that year. In accordance with provisions of the SECURE 2.0 Act, participants who attain ages 60 through 63 before the end of the Plan year are eligible for an increased catch-up contribution limit of up to $11,250 (“super catch-up contributions”).</w:t>
      </w:r>
    </w:p>
    <w:p>
      <w:pPr>
        <w:spacing w:after="0" w:line="147" w:lineRule="exact"/>
        <w:rPr>
          <w:rFonts w:ascii="Times New Roman" w:cs="Times New Roman" w:eastAsia="Times New Roman" w:hAnsi="Times New Roman"/>
          <w:sz w:val="18"/>
          <w:szCs w:val="18"/>
          <w:b w:val="1"/>
          <w:bCs w:val="1"/>
          <w:i w:val="1"/>
          <w:iCs w:val="1"/>
          <w:color w:val="auto"/>
        </w:rPr>
      </w:pPr>
    </w:p>
    <w:p>
      <w:pPr>
        <w:ind w:left="75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matches participant contributions equal to 100% of salary deferrals up to a maximum matching amount of $5,000. Participant and employer matching contributions are invested as directed by the participant. The Company may also elect to make a profit sharing contribution to the Plan in the form of cash. During 2025, the Company’s profit sharing contribution totaled $3,476,918, and was contributed in March 2026.</w:t>
      </w:r>
    </w:p>
    <w:p>
      <w:pPr>
        <w:spacing w:after="0" w:line="148" w:lineRule="exact"/>
        <w:rPr>
          <w:rFonts w:ascii="Times New Roman" w:cs="Times New Roman" w:eastAsia="Times New Roman" w:hAnsi="Times New Roman"/>
          <w:sz w:val="18"/>
          <w:szCs w:val="18"/>
          <w:b w:val="1"/>
          <w:bCs w:val="1"/>
          <w:i w:val="1"/>
          <w:iCs w:val="1"/>
          <w:color w:val="auto"/>
        </w:rPr>
      </w:pPr>
    </w:p>
    <w:p>
      <w:pPr>
        <w:ind w:left="752"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participant may transfer funds from other qualified plans to the Plan. These funds are set up in a separate participant account referred to as a “Participant's Rollover Account.”</w:t>
      </w:r>
    </w:p>
    <w:p>
      <w:pPr>
        <w:spacing w:after="0" w:line="117" w:lineRule="exact"/>
        <w:rPr>
          <w:rFonts w:ascii="Times New Roman" w:cs="Times New Roman" w:eastAsia="Times New Roman" w:hAnsi="Times New Roman"/>
          <w:sz w:val="18"/>
          <w:szCs w:val="18"/>
          <w:b w:val="1"/>
          <w:bCs w:val="1"/>
          <w:i w:val="1"/>
          <w:iCs w:val="1"/>
          <w:color w:val="auto"/>
        </w:rPr>
      </w:pPr>
    </w:p>
    <w:p>
      <w:pPr>
        <w:ind w:left="752" w:hanging="378"/>
        <w:spacing w:after="0"/>
        <w:tabs>
          <w:tab w:leader="none" w:pos="752"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Administration</w:t>
      </w:r>
    </w:p>
    <w:p>
      <w:pPr>
        <w:spacing w:after="0" w:line="188" w:lineRule="exact"/>
        <w:rPr>
          <w:rFonts w:ascii="Times New Roman" w:cs="Times New Roman" w:eastAsia="Times New Roman" w:hAnsi="Times New Roman"/>
          <w:sz w:val="18"/>
          <w:szCs w:val="18"/>
          <w:b w:val="1"/>
          <w:bCs w:val="1"/>
          <w:i w:val="1"/>
          <w:iCs w:val="1"/>
          <w:color w:val="auto"/>
        </w:rPr>
      </w:pPr>
    </w:p>
    <w:p>
      <w:pPr>
        <w:ind w:left="752" w:righ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Principal Financial Group serves as recordkeeper, trustee and asset custodian. Regions Bank is the Investment Manager for the Plan. The Company’s Employee Benefits and Retirement Investment Committee oversees the Plan.</w:t>
      </w:r>
    </w:p>
    <w:p>
      <w:pPr>
        <w:spacing w:after="0" w:line="130" w:lineRule="exact"/>
        <w:rPr>
          <w:rFonts w:ascii="Times New Roman" w:cs="Times New Roman" w:eastAsia="Times New Roman" w:hAnsi="Times New Roman"/>
          <w:sz w:val="18"/>
          <w:szCs w:val="18"/>
          <w:b w:val="1"/>
          <w:bCs w:val="1"/>
          <w:i w:val="1"/>
          <w:iCs w:val="1"/>
          <w:color w:val="auto"/>
        </w:rPr>
      </w:pPr>
    </w:p>
    <w:p>
      <w:pPr>
        <w:ind w:left="752" w:hanging="378"/>
        <w:spacing w:after="0"/>
        <w:tabs>
          <w:tab w:leader="none" w:pos="752"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Participant Accounts</w:t>
      </w:r>
    </w:p>
    <w:p>
      <w:pPr>
        <w:spacing w:after="0" w:line="188" w:lineRule="exact"/>
        <w:rPr>
          <w:rFonts w:ascii="Times New Roman" w:cs="Times New Roman" w:eastAsia="Times New Roman" w:hAnsi="Times New Roman"/>
          <w:sz w:val="18"/>
          <w:szCs w:val="18"/>
          <w:b w:val="1"/>
          <w:bCs w:val="1"/>
          <w:i w:val="1"/>
          <w:iCs w:val="1"/>
          <w:color w:val="auto"/>
        </w:rPr>
      </w:pPr>
    </w:p>
    <w:p>
      <w:pPr>
        <w:ind w:left="752" w:right="1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Each participant’s account is credited with the participant’s contributions and allocations of (a) the Company’s matching contributions, (b) plan earnings, and (c) discretionary profit sharing contributions. Allocations of the Company’s profit sharing contributions are based on participant earnings, as defined in the Plan document. Allocations of plan earnings for investments other than self-directed accounts are based on participants’ account balances. Self-directed accounts are credited with the earnings of the specific investments chosen by the participant. The benefit to which a participant is entitled is the benefit that can be provided from the participant’s vested accounts.</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99" w:right="359" w:bottom="1440" w:gutter="0" w:footer="0" w:header="0"/>
        </w:sectPr>
      </w:pPr>
    </w:p>
    <w:bookmarkStart w:id="6" w:name="page7"/>
    <w:bookmarkEnd w:id="6"/>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ind w:right="380"/>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0" w:lineRule="exact"/>
        <w:rPr>
          <w:sz w:val="20"/>
          <w:szCs w:val="20"/>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02" w:lineRule="exact"/>
        <w:rPr>
          <w:rFonts w:ascii="Times New Roman" w:cs="Times New Roman" w:eastAsia="Times New Roman" w:hAnsi="Times New Roman"/>
          <w:sz w:val="18"/>
          <w:szCs w:val="18"/>
          <w:b w:val="1"/>
          <w:bCs w:val="1"/>
          <w:i w:val="1"/>
          <w:iCs w:val="1"/>
          <w:color w:val="auto"/>
        </w:rPr>
      </w:pPr>
    </w:p>
    <w:p>
      <w:pPr>
        <w:ind w:left="380" w:right="20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may borrow from the Plan using their vested account balance as security for the loan. Participant loans are repaid through payroll deductions. The minimum loan amount is $1,000 up to a maximum amount equal to the lesser of $50,000 or 50% of the participants’ vested account balance. Generally, the term of the loan may not exceed five years; however, if the loan is for the purchase of a primary residence, the Plan may allow for a longer repayment term. A participant may have only one loan outstanding at any time. The interest rate is fixed over the life of the loan based on market rates at loan inception, and the interest paid by the participant is credited back to the participant’s account. At December 31, 2025 participant loans had interest rates ranging from 4.25% to 9.50%. In 2025, interest on notes receivable from participants comprised $93,492.</w:t>
      </w:r>
    </w:p>
    <w:p>
      <w:pPr>
        <w:spacing w:after="0" w:line="144" w:lineRule="exact"/>
        <w:rPr>
          <w:rFonts w:ascii="Times New Roman" w:cs="Times New Roman" w:eastAsia="Times New Roman" w:hAnsi="Times New Roman"/>
          <w:sz w:val="18"/>
          <w:szCs w:val="18"/>
          <w:b w:val="1"/>
          <w:bCs w:val="1"/>
          <w:i w:val="1"/>
          <w:iCs w:val="1"/>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 Options</w:t>
      </w:r>
    </w:p>
    <w:p>
      <w:pPr>
        <w:spacing w:after="0" w:line="188" w:lineRule="exact"/>
        <w:rPr>
          <w:rFonts w:ascii="Times New Roman" w:cs="Times New Roman" w:eastAsia="Times New Roman" w:hAnsi="Times New Roman"/>
          <w:sz w:val="18"/>
          <w:szCs w:val="18"/>
          <w:b w:val="1"/>
          <w:bCs w:val="1"/>
          <w:i w:val="1"/>
          <w:iCs w:val="1"/>
          <w:color w:val="auto"/>
        </w:rPr>
      </w:pPr>
    </w:p>
    <w:p>
      <w:pPr>
        <w:jc w:val="both"/>
        <w:ind w:left="380" w:right="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direct the investment of their participant deferrals, Company matching contributions, and Company profit sharing contributions into various investment options offered by the Plan, including a self-directed account option. Self-directed accounts consist of assets invested at the discretion of plan participants, within certain guidelines as defined by the Plan.</w:t>
      </w:r>
    </w:p>
    <w:p>
      <w:pPr>
        <w:spacing w:after="0" w:line="144" w:lineRule="exact"/>
        <w:rPr>
          <w:rFonts w:ascii="Times New Roman" w:cs="Times New Roman" w:eastAsia="Times New Roman" w:hAnsi="Times New Roman"/>
          <w:sz w:val="18"/>
          <w:szCs w:val="18"/>
          <w:b w:val="1"/>
          <w:bCs w:val="1"/>
          <w:i w:val="1"/>
          <w:iCs w:val="1"/>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Vesting</w:t>
      </w:r>
    </w:p>
    <w:p>
      <w:pPr>
        <w:spacing w:after="0" w:line="188" w:lineRule="exact"/>
        <w:rPr>
          <w:rFonts w:ascii="Times New Roman" w:cs="Times New Roman" w:eastAsia="Times New Roman" w:hAnsi="Times New Roman"/>
          <w:sz w:val="18"/>
          <w:szCs w:val="18"/>
          <w:b w:val="1"/>
          <w:bCs w:val="1"/>
          <w:i w:val="1"/>
          <w:iCs w:val="1"/>
          <w:color w:val="auto"/>
        </w:rPr>
      </w:pPr>
    </w:p>
    <w:p>
      <w:pPr>
        <w:ind w:left="38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contributions and the Company’s matching contributions to the Plan vest immediately. The Company’s discretionary profit sharing contributions cliff vest at 100% after three years of service. A year of service is defined as at least 1,000 hours of service during a Plan year. Participants immediately vest in all contributions upon reaching normal retirement age of 65 or early retirement age, which is the later of the date of reaching the age of 55 or the date of completion of the third anniversary of Plan participation.</w:t>
      </w:r>
    </w:p>
    <w:p>
      <w:pPr>
        <w:spacing w:after="0" w:line="135" w:lineRule="exact"/>
        <w:rPr>
          <w:rFonts w:ascii="Times New Roman" w:cs="Times New Roman" w:eastAsia="Times New Roman" w:hAnsi="Times New Roman"/>
          <w:sz w:val="18"/>
          <w:szCs w:val="18"/>
          <w:b w:val="1"/>
          <w:bCs w:val="1"/>
          <w:i w:val="1"/>
          <w:iCs w:val="1"/>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 of Benefits</w:t>
      </w:r>
    </w:p>
    <w:p>
      <w:pPr>
        <w:spacing w:after="0" w:line="202" w:lineRule="exact"/>
        <w:rPr>
          <w:rFonts w:ascii="Times New Roman" w:cs="Times New Roman" w:eastAsia="Times New Roman" w:hAnsi="Times New Roman"/>
          <w:sz w:val="18"/>
          <w:szCs w:val="18"/>
          <w:b w:val="1"/>
          <w:bCs w:val="1"/>
          <w:i w:val="1"/>
          <w:iCs w:val="1"/>
          <w:color w:val="auto"/>
        </w:rPr>
      </w:pPr>
    </w:p>
    <w:p>
      <w:pPr>
        <w:ind w:left="380" w:right="2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termination of service due to death, disability, or retirement, a participant (or beneficiary) may elect to receive cash in either a lump-sum distribution or installments equal to the value of the participant’s vested interest in his or her account. In addition, for all terminations of service, including those for the reasons mentioned above, a participant may receive a distribution in the form of the Company’s common stock (“distribution-in-kind”) equal to the value of the participant’s vested interest in his or her Regency Centers Corporation common stock fund account. If a participant is entitled to a distribution of more than $200, then he or she may elect whether to receive the distribution or to roll over the distribution to another retirement plan such as an individual retirement account (“IRA”). If the vested interest in the Plan is greater than $1,000 but less than $5,000 and the participant does not elect to receive or roll over the distribution, then the distribution must be rolled over to an IRA. If the vested interest in the Plan is greater than $5,000, the participant must consent to the distribution before it will be made. In-service hardship distributions are permissible under the Plan and follow the Internal Revenue Service (“IRS”) issued regulations.</w:t>
      </w:r>
    </w:p>
    <w:p>
      <w:pPr>
        <w:spacing w:after="0" w:line="143" w:lineRule="exact"/>
        <w:rPr>
          <w:rFonts w:ascii="Times New Roman" w:cs="Times New Roman" w:eastAsia="Times New Roman" w:hAnsi="Times New Roman"/>
          <w:sz w:val="18"/>
          <w:szCs w:val="18"/>
          <w:b w:val="1"/>
          <w:bCs w:val="1"/>
          <w:i w:val="1"/>
          <w:iCs w:val="1"/>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Expenses</w:t>
      </w:r>
    </w:p>
    <w:p>
      <w:pPr>
        <w:spacing w:after="0" w:line="188" w:lineRule="exact"/>
        <w:rPr>
          <w:rFonts w:ascii="Times New Roman" w:cs="Times New Roman" w:eastAsia="Times New Roman" w:hAnsi="Times New Roman"/>
          <w:sz w:val="18"/>
          <w:szCs w:val="18"/>
          <w:b w:val="1"/>
          <w:bCs w:val="1"/>
          <w:i w:val="1"/>
          <w:iCs w:val="1"/>
          <w:color w:val="auto"/>
        </w:rPr>
      </w:pPr>
    </w:p>
    <w:p>
      <w:pPr>
        <w:ind w:left="38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pay certain fees including (a) investment advisory fees based on participant balances, (b) investment management fees which are fixed quarterly fees to transact investments, and (c) administrative fees to transact new participant loans. The plan sponsor also pays certain plan expenses, which are excluded from these financial statements.</w:t>
      </w:r>
    </w:p>
    <w:p>
      <w:pPr>
        <w:spacing w:after="0" w:line="144" w:lineRule="exact"/>
        <w:rPr>
          <w:rFonts w:ascii="Times New Roman" w:cs="Times New Roman" w:eastAsia="Times New Roman" w:hAnsi="Times New Roman"/>
          <w:sz w:val="18"/>
          <w:szCs w:val="18"/>
          <w:b w:val="1"/>
          <w:bCs w:val="1"/>
          <w:i w:val="1"/>
          <w:iCs w:val="1"/>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Forfeitures</w:t>
      </w:r>
    </w:p>
    <w:p>
      <w:pPr>
        <w:spacing w:after="0" w:line="188" w:lineRule="exact"/>
        <w:rPr>
          <w:rFonts w:ascii="Times New Roman" w:cs="Times New Roman" w:eastAsia="Times New Roman" w:hAnsi="Times New Roman"/>
          <w:sz w:val="18"/>
          <w:szCs w:val="18"/>
          <w:b w:val="1"/>
          <w:bCs w:val="1"/>
          <w:i w:val="1"/>
          <w:iCs w:val="1"/>
          <w:color w:val="auto"/>
        </w:rPr>
      </w:pPr>
    </w:p>
    <w:p>
      <w:pPr>
        <w:ind w:left="3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Forfeitures are allocated in the subsequent year in which the forfeiture occurs to all participants eligible to receive a Company profit sharing contribution, as defined in the Plan document. The amount allocated to each participant is the product of the ratio of his or her compensation (subject to a maximum) to total compensation, multiplied by total forfeitures. During 2025, amounts forfeited in prior years and earnings thereon totaling $307,785 were allocated to participants. At December 31, 2025 and 2024, unallocated forfeitures totaled $57,634 and $302,500, respectively.</w:t>
      </w:r>
    </w:p>
    <w:p>
      <w:pPr>
        <w:spacing w:after="0" w:line="1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9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Accounting</w:t>
      </w:r>
    </w:p>
    <w:p>
      <w:pPr>
        <w:spacing w:after="0" w:line="188" w:lineRule="exact"/>
        <w:rPr>
          <w:rFonts w:ascii="Times New Roman" w:cs="Times New Roman" w:eastAsia="Times New Roman" w:hAnsi="Times New Roman"/>
          <w:sz w:val="18"/>
          <w:szCs w:val="18"/>
          <w:b w:val="1"/>
          <w:bCs w:val="1"/>
          <w:i w:val="1"/>
          <w:iCs w:val="1"/>
          <w:color w:val="auto"/>
        </w:rPr>
      </w:pPr>
    </w:p>
    <w:p>
      <w:pPr>
        <w:ind w:left="760" w:right="6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accrual basis of accounting has been used in preparing the accompanying financial statements in conformity with generally accepted accounting principles (“GAAP”) in the United States of America.</w:t>
      </w:r>
    </w:p>
    <w:p>
      <w:pPr>
        <w:spacing w:after="0" w:line="117"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Valuation of Investments and Income Recognition</w:t>
      </w:r>
    </w:p>
    <w:p>
      <w:pPr>
        <w:spacing w:after="0" w:line="202" w:lineRule="exact"/>
        <w:rPr>
          <w:rFonts w:ascii="Times New Roman" w:cs="Times New Roman" w:eastAsia="Times New Roman" w:hAnsi="Times New Roman"/>
          <w:sz w:val="18"/>
          <w:szCs w:val="18"/>
          <w:b w:val="1"/>
          <w:bCs w:val="1"/>
          <w:i w:val="1"/>
          <w:iCs w:val="1"/>
          <w:color w:val="auto"/>
        </w:rPr>
      </w:pPr>
    </w:p>
    <w:p>
      <w:pPr>
        <w:jc w:val="both"/>
        <w:ind w:left="76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Investments are recorded at fair value which represents the price that would be received to sell an asset or paid to transfer a liability in an orderly transaction between market participants at the measurement date. See Note 6 for discussion of fair value measurements. The net appreciation in fair value of investments includes the gain or loss on investments bought, sold, and held during the year, as well as, the unrealized change in fair value of investments.</w:t>
      </w:r>
    </w:p>
    <w:p>
      <w:pPr>
        <w:spacing w:after="0" w:line="139" w:lineRule="exact"/>
        <w:rPr>
          <w:rFonts w:ascii="Times New Roman" w:cs="Times New Roman" w:eastAsia="Times New Roman" w:hAnsi="Times New Roman"/>
          <w:sz w:val="18"/>
          <w:szCs w:val="18"/>
          <w:b w:val="1"/>
          <w:bCs w:val="1"/>
          <w:i w:val="1"/>
          <w:iCs w:val="1"/>
          <w:color w:val="auto"/>
        </w:rPr>
      </w:pPr>
    </w:p>
    <w:p>
      <w:pPr>
        <w:jc w:val="both"/>
        <w:ind w:left="76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One of the investment options offered by the Plan, the Galliard Stable Return Fund PN (the “Stable Return Fund”), is a common collective trust fund that is indirectly invested in fully benefit-responsive investment contracts. The Stable Return Fund is valued utilizing the Net Asset Value (“NAV”) per share as a practical expedient for fair value, as reported by the manager of the common collective trust fund.</w:t>
      </w:r>
    </w:p>
    <w:p>
      <w:pPr>
        <w:spacing w:after="0" w:line="135" w:lineRule="exact"/>
        <w:rPr>
          <w:rFonts w:ascii="Times New Roman" w:cs="Times New Roman" w:eastAsia="Times New Roman" w:hAnsi="Times New Roman"/>
          <w:sz w:val="18"/>
          <w:szCs w:val="18"/>
          <w:b w:val="1"/>
          <w:bCs w:val="1"/>
          <w:i w:val="1"/>
          <w:iCs w:val="1"/>
          <w:color w:val="auto"/>
        </w:rPr>
      </w:pPr>
    </w:p>
    <w:p>
      <w:pPr>
        <w:ind w:left="760"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and dividends are recorded on the ex-dividend date.</w:t>
      </w:r>
    </w:p>
    <w:p>
      <w:pPr>
        <w:spacing w:after="0" w:line="130"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88" w:lineRule="exact"/>
        <w:rPr>
          <w:rFonts w:ascii="Times New Roman" w:cs="Times New Roman" w:eastAsia="Times New Roman" w:hAnsi="Times New Roman"/>
          <w:sz w:val="18"/>
          <w:szCs w:val="18"/>
          <w:b w:val="1"/>
          <w:bCs w:val="1"/>
          <w:i w:val="1"/>
          <w:iCs w:val="1"/>
          <w:color w:val="auto"/>
        </w:rPr>
      </w:pPr>
    </w:p>
    <w:p>
      <w:pPr>
        <w:ind w:left="760" w:right="7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Notes receivable from participants are recorded at amortized cost plus accrued interest. Delinquent participant loans are reclassified as distributions based upon the terms of the Plan.</w:t>
      </w:r>
    </w:p>
    <w:p>
      <w:pPr>
        <w:spacing w:after="0" w:line="117"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rFonts w:ascii="Times New Roman" w:cs="Times New Roman" w:eastAsia="Times New Roman" w:hAnsi="Times New Roman"/>
          <w:sz w:val="18"/>
          <w:szCs w:val="18"/>
          <w:b w:val="1"/>
          <w:bCs w:val="1"/>
          <w:i w:val="1"/>
          <w:iCs w:val="1"/>
          <w:color w:val="auto"/>
        </w:rPr>
      </w:pPr>
    </w:p>
    <w:p>
      <w:pPr>
        <w:ind w:left="760" w:right="3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available for benefits and disclosure of commitments at the date of the financial statements and changes in assets available for benefits during the reporting period. Actual results could differ from those estimates.</w:t>
      </w:r>
    </w:p>
    <w:p>
      <w:pPr>
        <w:spacing w:after="0" w:line="131"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 of Benefits</w:t>
      </w:r>
    </w:p>
    <w:p>
      <w:pPr>
        <w:spacing w:after="0" w:line="188" w:lineRule="exact"/>
        <w:rPr>
          <w:rFonts w:ascii="Times New Roman" w:cs="Times New Roman" w:eastAsia="Times New Roman" w:hAnsi="Times New Roman"/>
          <w:sz w:val="18"/>
          <w:szCs w:val="18"/>
          <w:b w:val="1"/>
          <w:bCs w:val="1"/>
          <w:i w:val="1"/>
          <w:iCs w:val="1"/>
          <w:color w:val="auto"/>
        </w:rPr>
      </w:pPr>
    </w:p>
    <w:p>
      <w:pPr>
        <w:ind w:left="7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Benefits paid to participants are recorded when paid.</w:t>
      </w:r>
    </w:p>
    <w:p>
      <w:pPr>
        <w:spacing w:after="0" w:line="194"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8" w:lineRule="exact"/>
        <w:rPr>
          <w:rFonts w:ascii="Times New Roman" w:cs="Times New Roman" w:eastAsia="Times New Roman" w:hAnsi="Times New Roman"/>
          <w:sz w:val="18"/>
          <w:szCs w:val="18"/>
          <w:b w:val="1"/>
          <w:bCs w:val="1"/>
          <w:i w:val="1"/>
          <w:iCs w:val="1"/>
          <w:color w:val="auto"/>
        </w:rPr>
      </w:pPr>
    </w:p>
    <w:p>
      <w:pPr>
        <w:ind w:left="7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invests in various investment securities. Investments securities, in general,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rFonts w:ascii="Times New Roman" w:cs="Times New Roman" w:eastAsia="Times New Roman" w:hAnsi="Times New Roman"/>
          <w:sz w:val="18"/>
          <w:szCs w:val="18"/>
          <w:b w:val="1"/>
          <w:bCs w:val="1"/>
          <w:i w:val="1"/>
          <w:iCs w:val="1"/>
          <w:color w:val="auto"/>
        </w:rPr>
      </w:pPr>
    </w:p>
    <w:p>
      <w:pPr>
        <w:ind w:left="760" w:hanging="378"/>
        <w:spacing w:after="0"/>
        <w:tabs>
          <w:tab w:leader="none" w:pos="7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Revision of Prior-Year Presentation</w:t>
      </w:r>
    </w:p>
    <w:p>
      <w:pPr>
        <w:spacing w:after="0" w:line="202" w:lineRule="exact"/>
        <w:rPr>
          <w:rFonts w:ascii="Times New Roman" w:cs="Times New Roman" w:eastAsia="Times New Roman" w:hAnsi="Times New Roman"/>
          <w:sz w:val="18"/>
          <w:szCs w:val="18"/>
          <w:b w:val="1"/>
          <w:bCs w:val="1"/>
          <w:i w:val="1"/>
          <w:iCs w:val="1"/>
          <w:color w:val="auto"/>
        </w:rPr>
      </w:pPr>
    </w:p>
    <w:p>
      <w:pPr>
        <w:ind w:left="76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revised the presentation of its fair value hierarchy table to separately present investments measured at NAV as a practical expedient. Accordingly, common/collective trust fund investments of approximately $31.5 million as of December 31, 2024, previously included in Level 1, have been reclassified to a separate NAV column in the fair value measurements table presented in Note 6. This revision had no effect on total investments, net assets available for benefits, changes in net assets available for benefits, or participant account balances.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ind w:right="-31"/>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0" w:lineRule="exact"/>
        <w:rPr>
          <w:sz w:val="20"/>
          <w:szCs w:val="20"/>
          <w:color w:val="auto"/>
        </w:rPr>
      </w:pPr>
    </w:p>
    <w:p>
      <w:pPr>
        <w:ind w:left="352" w:hanging="352"/>
        <w:spacing w:after="0"/>
        <w:tabs>
          <w:tab w:leader="none" w:pos="3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02" w:lineRule="exact"/>
        <w:rPr>
          <w:rFonts w:ascii="Times New Roman" w:cs="Times New Roman" w:eastAsia="Times New Roman" w:hAnsi="Times New Roman"/>
          <w:sz w:val="18"/>
          <w:szCs w:val="18"/>
          <w:b w:val="1"/>
          <w:bCs w:val="1"/>
          <w:color w:val="auto"/>
        </w:rPr>
      </w:pPr>
    </w:p>
    <w:p>
      <w:pPr>
        <w:ind w:left="372"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fully vested in all employer contributions and earnings thereon. Additionally, the Company may direct benefits to be distributed as soon as practicable or a trust, created by the Plan, can be continued with benefits distributed as if the Plan had not been terminated.</w:t>
      </w:r>
    </w:p>
    <w:p>
      <w:pPr>
        <w:spacing w:after="0" w:line="135"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188" w:lineRule="exact"/>
        <w:rPr>
          <w:rFonts w:ascii="Times New Roman" w:cs="Times New Roman" w:eastAsia="Times New Roman" w:hAnsi="Times New Roman"/>
          <w:sz w:val="18"/>
          <w:szCs w:val="18"/>
          <w:b w:val="1"/>
          <w:bCs w:val="1"/>
          <w:color w:val="auto"/>
        </w:rPr>
      </w:pPr>
    </w:p>
    <w:p>
      <w:pPr>
        <w:ind w:left="372"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sponsor of the prototype plan, on which this standardized plan is based, received a tax opinion letter from the IRS dated June 30, 2020, which indicates that the Plan, as designed, was in compliance with the applicable requirements of the Internal Revenue Code (“the Code”). Although the Plan has been amended since receiving the tax opinion letter, in the opinion of the Plan administrator and its counsel, the Plan has operated in accordance with the Code and the plan document and therefore remains qualified and tax exempt.</w:t>
      </w:r>
    </w:p>
    <w:p>
      <w:pPr>
        <w:spacing w:after="0" w:line="152" w:lineRule="exact"/>
        <w:rPr>
          <w:rFonts w:ascii="Times New Roman" w:cs="Times New Roman" w:eastAsia="Times New Roman" w:hAnsi="Times New Roman"/>
          <w:sz w:val="18"/>
          <w:szCs w:val="18"/>
          <w:b w:val="1"/>
          <w:bCs w:val="1"/>
          <w:color w:val="auto"/>
        </w:rPr>
      </w:pPr>
    </w:p>
    <w:p>
      <w:pPr>
        <w:ind w:left="37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recognizes tax positions in the financial statements when it is more likely than not the position will be sustained upon examination by the tax authorities. Such tax positions shall initially and subsequently be measured as the largest amount of tax benefit that has a greater than 50% likelihood of being realized upon ultimate settlement with the tax authority assuming full knowledge of the position and relevant facts. The Company believes that it has appropriate support for the income tax positions taken based on an assessment of many factors including past experience and interpretations of tax laws applied to the facts of each matter. The Plan is subject to routine audits by taxing jurisdictions.</w:t>
      </w:r>
    </w:p>
    <w:p>
      <w:pPr>
        <w:spacing w:after="0" w:line="138"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Parties-in-interest Transactions and Related Party Transactions</w:t>
      </w:r>
    </w:p>
    <w:p>
      <w:pPr>
        <w:spacing w:after="0" w:line="188" w:lineRule="exact"/>
        <w:rPr>
          <w:rFonts w:ascii="Times New Roman" w:cs="Times New Roman" w:eastAsia="Times New Roman" w:hAnsi="Times New Roman"/>
          <w:sz w:val="18"/>
          <w:szCs w:val="18"/>
          <w:b w:val="1"/>
          <w:bCs w:val="1"/>
          <w:color w:val="auto"/>
        </w:rPr>
      </w:pPr>
    </w:p>
    <w:p>
      <w:pPr>
        <w:jc w:val="both"/>
        <w:ind w:left="37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Fees paid by the Plan to the trustees for administrative and investment services approximated $140,000 for the year ended December 31, 2025. Fees paid by the Plan to the Investment Manager approximated $55,000 for the year ended December 31, 2025. Fees paid to the Investment Manager were included as a reduction of the return earned on each fund.</w:t>
      </w:r>
    </w:p>
    <w:p>
      <w:pPr>
        <w:spacing w:after="0" w:line="148" w:lineRule="exact"/>
        <w:rPr>
          <w:rFonts w:ascii="Times New Roman" w:cs="Times New Roman" w:eastAsia="Times New Roman" w:hAnsi="Times New Roman"/>
          <w:sz w:val="18"/>
          <w:szCs w:val="18"/>
          <w:b w:val="1"/>
          <w:bCs w:val="1"/>
          <w:color w:val="auto"/>
        </w:rPr>
      </w:pPr>
    </w:p>
    <w:p>
      <w:pPr>
        <w:ind w:left="372"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in Company common stock qualify as party-in-interest transactions. The investments in the common stock of the Company earned dividend income of $365,624 during 2025, of which $93,873 is accrued at December 31, 2025.</w:t>
      </w:r>
    </w:p>
    <w:p>
      <w:pPr>
        <w:spacing w:after="0" w:line="117"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88" w:lineRule="exact"/>
        <w:rPr>
          <w:rFonts w:ascii="Times New Roman" w:cs="Times New Roman" w:eastAsia="Times New Roman" w:hAnsi="Times New Roman"/>
          <w:sz w:val="18"/>
          <w:szCs w:val="18"/>
          <w:b w:val="1"/>
          <w:bCs w:val="1"/>
          <w:color w:val="auto"/>
        </w:rPr>
      </w:pPr>
    </w:p>
    <w:p>
      <w:pPr>
        <w:ind w:left="372"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a market-based measurement, not an entity-specific measurement. Therefore, fair value measurement is determined based on the assumptions that market participants would use in pricing the asset. As a basis for considering market participant assumptions in fair value measurements, the Plan uses a fair value hierarchy that distinguishes between market participant assumptions based on market data obtained from independent sources (observable inputs that are classified within Levels 1 and 2 of the hierarchy) and the Plan’s own assumptions about market participant assumptions (unobservable inputs classified within Level 3 of the hierarchy). The three levels of inputs used to measure fair value are as follows:</w:t>
      </w:r>
    </w:p>
    <w:p>
      <w:pPr>
        <w:spacing w:after="0" w:line="160"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85"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or indirectly.</w:t>
      </w:r>
    </w:p>
    <w:p>
      <w:pPr>
        <w:spacing w:after="0" w:line="185" w:lineRule="exact"/>
        <w:rPr>
          <w:sz w:val="20"/>
          <w:szCs w:val="20"/>
          <w:color w:val="auto"/>
        </w:rPr>
      </w:pPr>
    </w:p>
    <w:p>
      <w:pPr>
        <w:ind w:left="1492" w:right="100" w:hanging="69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the asset or liability, which are typically based on the Plan’s own assumptions, as there is little, if any, related market activity.</w:t>
      </w:r>
    </w:p>
    <w:p>
      <w:pPr>
        <w:spacing w:after="0" w:line="16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99" w:right="359" w:bottom="1440" w:gutter="0" w:footer="0" w:header="0"/>
        </w:sectPr>
      </w:pPr>
    </w:p>
    <w:bookmarkStart w:id="9" w:name="page10"/>
    <w:bookmarkEnd w:id="9"/>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ind w:right="300"/>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valuation techniques attempt to maximize the use of observable inputs and minimize the use of unobservable inputs. The availability of observable market data is monitored to assess the appropriate classifications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w:t>
      </w:r>
    </w:p>
    <w:p>
      <w:pPr>
        <w:spacing w:after="0" w:line="1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significance of transfers between levels was evaluated based upon the nature of the financial instrument and size of the transfer relative to total net assets available for benefits. For the year ended December 31, 2025, there were no transfers in or out of levels 1, 2, or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 market funds</w:t>
      </w:r>
    </w:p>
    <w:p>
      <w:pPr>
        <w:spacing w:after="0" w:line="198" w:lineRule="exact"/>
        <w:rPr>
          <w:sz w:val="20"/>
          <w:szCs w:val="20"/>
          <w:color w:val="auto"/>
        </w:rPr>
      </w:pPr>
    </w:p>
    <w:p>
      <w:pPr>
        <w:ind w:left="380" w:right="160"/>
        <w:spacing w:after="0" w:line="282" w:lineRule="auto"/>
        <w:rPr>
          <w:sz w:val="20"/>
          <w:szCs w:val="20"/>
          <w:color w:val="auto"/>
        </w:rPr>
      </w:pPr>
      <w:r>
        <w:rPr>
          <w:rFonts w:ascii="Times New Roman" w:cs="Times New Roman" w:eastAsia="Times New Roman" w:hAnsi="Times New Roman"/>
          <w:sz w:val="18"/>
          <w:szCs w:val="18"/>
          <w:color w:val="auto"/>
        </w:rPr>
        <w:t>The assets held in money market funds are valued at the NAV of the underlying funds. The NAV of money market funds are based on quoted prices in an active market and have been classified within Level 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Common/collective trusts</w:t>
      </w:r>
    </w:p>
    <w:p>
      <w:pPr>
        <w:spacing w:after="0" w:line="185" w:lineRule="exact"/>
        <w:rPr>
          <w:sz w:val="20"/>
          <w:szCs w:val="20"/>
          <w:color w:val="auto"/>
        </w:rPr>
      </w:pPr>
    </w:p>
    <w:p>
      <w:pPr>
        <w:ind w:left="380" w:right="240"/>
        <w:spacing w:after="0" w:line="261" w:lineRule="auto"/>
        <w:rPr>
          <w:sz w:val="20"/>
          <w:szCs w:val="20"/>
          <w:color w:val="auto"/>
        </w:rPr>
      </w:pPr>
      <w:r>
        <w:rPr>
          <w:rFonts w:ascii="Times New Roman" w:cs="Times New Roman" w:eastAsia="Times New Roman" w:hAnsi="Times New Roman"/>
          <w:sz w:val="18"/>
          <w:szCs w:val="18"/>
          <w:color w:val="auto"/>
        </w:rPr>
        <w:t>The investments held in common/collective trusts are valued at the NAV per unit of the underlying funds. The NAV is used as the practical expedient to estimate fair value and therefore, investments recorded at NAV are not categorized in the fair value hierarchy. NAV of the collective trust is calculated daily. Participants’ redemptions of the common/collective trusts are permitted daily with no other restrictions or notice periods and there are no unfunded commitments.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Mutual funds</w:t>
      </w:r>
    </w:p>
    <w:p>
      <w:pPr>
        <w:spacing w:after="0" w:line="185" w:lineRule="exact"/>
        <w:rPr>
          <w:sz w:val="20"/>
          <w:szCs w:val="20"/>
          <w:color w:val="auto"/>
        </w:rPr>
      </w:pPr>
    </w:p>
    <w:p>
      <w:pPr>
        <w:ind w:left="380" w:right="260"/>
        <w:spacing w:after="0" w:line="282" w:lineRule="auto"/>
        <w:rPr>
          <w:sz w:val="20"/>
          <w:szCs w:val="20"/>
          <w:color w:val="auto"/>
        </w:rPr>
      </w:pPr>
      <w:r>
        <w:rPr>
          <w:rFonts w:ascii="Times New Roman" w:cs="Times New Roman" w:eastAsia="Times New Roman" w:hAnsi="Times New Roman"/>
          <w:sz w:val="18"/>
          <w:szCs w:val="18"/>
          <w:color w:val="auto"/>
        </w:rPr>
        <w:t>Shares of mutual funds are valued at the NAV of shares held by the Plan. The NAV of the mutual funds are based on quoted prices in active markets and have been classified within Level 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Self-directed accounts</w:t>
      </w:r>
    </w:p>
    <w:p>
      <w:pPr>
        <w:spacing w:after="0" w:line="198"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8"/>
          <w:szCs w:val="18"/>
          <w:color w:val="auto"/>
        </w:rPr>
        <w:t>The investments held in self-directed accounts include U.S. Treasury securities, common stocks, corporate bonds, shares of money market funds and mutual funds. U.S. Treasury securities and common stocks are valued using with quoted prices in active markets and have been classified within Level 1. Shares of money market funds and mutual funds are valued at the NAV of shares held by the Plan. The NAV of the money market funds and mutual funds are based on quoted prices in active markets and have been classified within Level 1.</w:t>
      </w:r>
    </w:p>
    <w:p>
      <w:pPr>
        <w:spacing w:after="0" w:line="18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00" w:top="999" w:right="419" w:bottom="1440" w:gutter="0" w:footer="0" w:header="0"/>
        </w:sectPr>
      </w:pPr>
    </w:p>
    <w:bookmarkStart w:id="10" w:name="page11"/>
    <w:bookmarkEnd w:id="10"/>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Notes to Financial Statements</w:t>
      </w:r>
    </w:p>
    <w:p>
      <w:pPr>
        <w:jc w:val="center"/>
        <w:ind w:right="260"/>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Regency Centers Corporation Common Stock Fund</w:t>
      </w:r>
    </w:p>
    <w:p>
      <w:pPr>
        <w:spacing w:after="0" w:line="198" w:lineRule="exact"/>
        <w:rPr>
          <w:sz w:val="20"/>
          <w:szCs w:val="20"/>
          <w:color w:val="auto"/>
        </w:rPr>
      </w:pPr>
    </w:p>
    <w:p>
      <w:pPr>
        <w:ind w:left="380"/>
        <w:spacing w:after="0" w:line="266" w:lineRule="auto"/>
        <w:rPr>
          <w:sz w:val="20"/>
          <w:szCs w:val="20"/>
          <w:color w:val="auto"/>
        </w:rPr>
      </w:pPr>
      <w:r>
        <w:rPr>
          <w:rFonts w:ascii="Times New Roman" w:cs="Times New Roman" w:eastAsia="Times New Roman" w:hAnsi="Times New Roman"/>
          <w:sz w:val="18"/>
          <w:szCs w:val="18"/>
          <w:color w:val="auto"/>
        </w:rPr>
        <w:t>The Regency Centers Corporation Common Stock Fund is a unitized stock fund valued at the NAV of the fund. The fund mainly consists of the employer stock which is valued at the closing price reported on the active market on which the stock is traded and the value of cash held for liquidity purposes. The value of this fund has been classified within Level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placement in the fair value hierarchy of assets that are measured at fair value:</w:t>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NAV</w:t>
            </w:r>
          </w:p>
        </w:tc>
        <w:tc>
          <w:tcPr>
            <w:tcW w:w="0" w:type="dxa"/>
            <w:vAlign w:val="bottom"/>
          </w:tcPr>
          <w:p>
            <w:pPr>
              <w:spacing w:after="0"/>
              <w:rPr>
                <w:sz w:val="1"/>
                <w:szCs w:val="1"/>
                <w:color w:val="auto"/>
              </w:rPr>
            </w:pPr>
          </w:p>
        </w:tc>
      </w:tr>
      <w:tr>
        <w:trPr>
          <w:trHeight w:val="161"/>
        </w:trPr>
        <w:tc>
          <w:tcPr>
            <w:tcW w:w="386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180,353</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180,353</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Common/collective trusts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34,259,968</w:t>
            </w:r>
          </w:p>
        </w:tc>
        <w:tc>
          <w:tcPr>
            <w:tcW w:w="1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34,259,968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132,947,561</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132,947,561</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Self-directed accounts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10,746,270</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10,746,270</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Regency Centers Corporation common stock fund</w:t>
            </w: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8,583,381</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8,583,381</w:t>
            </w: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investments</w:t>
            </w:r>
          </w:p>
        </w:tc>
        <w:tc>
          <w:tcPr>
            <w:tcW w:w="6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186,717,533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143,874,184</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8,583,381</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34,259,968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2024</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8"/>
                <w:szCs w:val="18"/>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NAV</w:t>
            </w:r>
          </w:p>
        </w:tc>
        <w:tc>
          <w:tcPr>
            <w:tcW w:w="0" w:type="dxa"/>
            <w:vAlign w:val="bottom"/>
          </w:tcPr>
          <w:p>
            <w:pPr>
              <w:spacing w:after="0"/>
              <w:rPr>
                <w:sz w:val="1"/>
                <w:szCs w:val="1"/>
                <w:color w:val="auto"/>
              </w:rPr>
            </w:pPr>
          </w:p>
        </w:tc>
      </w:tr>
      <w:tr>
        <w:trPr>
          <w:trHeight w:val="162"/>
        </w:trPr>
        <w:tc>
          <w:tcPr>
            <w:tcW w:w="386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108,673</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108,673</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Common/collective trusts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31,538,124</w:t>
            </w:r>
          </w:p>
        </w:tc>
        <w:tc>
          <w:tcPr>
            <w:tcW w:w="1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31,538,124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111,203,112</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111,203,112</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Self-directed accounts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8,576,758</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8,576,758</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Regency Centers Corporation common stock fund</w:t>
            </w: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9,190,695</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9,190,695</w:t>
            </w: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investments</w:t>
            </w:r>
          </w:p>
        </w:tc>
        <w:tc>
          <w:tcPr>
            <w:tcW w:w="2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160,617,362</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119,888,543</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9,190,695</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31,538,124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-2047875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-2047875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-2047875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-2047875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-162560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-162560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-162560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700" w:top="999"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REGENCY CENTERS 401(k) PROFIT SHARING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H, Line 4i - Schedule of Assets (Held at End of Year)</w:t>
      </w:r>
    </w:p>
    <w:p>
      <w:pPr>
        <w:jc w:val="center"/>
        <w:spacing w:after="0" w:line="230" w:lineRule="auto"/>
        <w:rPr>
          <w:sz w:val="20"/>
          <w:szCs w:val="20"/>
          <w:color w:val="auto"/>
        </w:rPr>
      </w:pPr>
      <w:r>
        <w:rPr>
          <w:rFonts w:ascii="Times New Roman" w:cs="Times New Roman" w:eastAsia="Times New Roman" w:hAnsi="Times New Roman"/>
          <w:sz w:val="22"/>
          <w:szCs w:val="22"/>
          <w:color w:val="auto"/>
        </w:rPr>
        <w:t>December 31, 2025</w:t>
      </w:r>
    </w:p>
    <w:p>
      <w:pPr>
        <w:spacing w:after="0" w:line="231" w:lineRule="auto"/>
        <w:rPr>
          <w:sz w:val="20"/>
          <w:szCs w:val="20"/>
          <w:color w:val="auto"/>
        </w:rPr>
      </w:pPr>
      <w:r>
        <w:rPr>
          <w:rFonts w:ascii="Times New Roman" w:cs="Times New Roman" w:eastAsia="Times New Roman" w:hAnsi="Times New Roman"/>
          <w:sz w:val="22"/>
          <w:szCs w:val="22"/>
          <w:color w:val="auto"/>
        </w:rPr>
        <w:t>EIN: 59-3191743</w:t>
      </w:r>
    </w:p>
    <w:p>
      <w:pPr>
        <w:spacing w:after="0"/>
        <w:rPr>
          <w:sz w:val="20"/>
          <w:szCs w:val="20"/>
          <w:color w:val="auto"/>
        </w:rPr>
      </w:pPr>
      <w:r>
        <w:rPr>
          <w:rFonts w:ascii="Times New Roman" w:cs="Times New Roman" w:eastAsia="Times New Roman" w:hAnsi="Times New Roman"/>
          <w:sz w:val="22"/>
          <w:szCs w:val="22"/>
          <w:color w:val="auto"/>
        </w:rPr>
        <w:t>Plan No. 001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w:t>
            </w:r>
          </w:p>
        </w:tc>
        <w:tc>
          <w:tcPr>
            <w:tcW w:w="140" w:type="dxa"/>
            <w:vAlign w:val="bottom"/>
          </w:tcPr>
          <w:p>
            <w:pPr>
              <w:spacing w:after="0"/>
              <w:rPr>
                <w:sz w:val="18"/>
                <w:szCs w:val="18"/>
                <w:color w:val="auto"/>
              </w:rPr>
            </w:pPr>
          </w:p>
        </w:tc>
        <w:tc>
          <w:tcPr>
            <w:tcW w:w="4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(b) Identity of issue, borrower, lessor, or similar party</w:t>
            </w:r>
          </w:p>
        </w:tc>
        <w:tc>
          <w:tcPr>
            <w:tcW w:w="1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 Description of investment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Units/Shares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9"/>
              </w:rPr>
              <w:t>(e) Current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Allspring Treasury Plus Money Market Service</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Money market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180,353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Galliard Stable Return Fund PN</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Common/collective trusts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153,870</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10,070,662</w:t>
            </w: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Principal/BlackRock S&amp;P MidCap Index CIT N</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Common/collective trusts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53,214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4,879,208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Principal/MFS Value CIT N</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Common/collective trusts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143,080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vMerge w:val="restart"/>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Principal/T. Rowe Price Institutional LargeCap Growth Managed</w:t>
            </w:r>
          </w:p>
        </w:tc>
        <w:tc>
          <w:tcPr>
            <w:tcW w:w="120" w:type="dxa"/>
            <w:vAlign w:val="bottom"/>
            <w:shd w:val="clear" w:color="auto" w:fill="CFF0FC"/>
          </w:tcPr>
          <w:p>
            <w:pPr>
              <w:spacing w:after="0"/>
              <w:rPr>
                <w:sz w:val="17"/>
                <w:szCs w:val="17"/>
                <w:color w:val="auto"/>
              </w:rPr>
            </w:pPr>
          </w:p>
        </w:tc>
        <w:tc>
          <w:tcPr>
            <w:tcW w:w="2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Common/collective trusts</w:t>
            </w:r>
          </w:p>
        </w:tc>
        <w:tc>
          <w:tcPr>
            <w:tcW w:w="1660" w:type="dxa"/>
            <w:vAlign w:val="bottom"/>
            <w:gridSpan w:val="3"/>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180,746</w:t>
            </w:r>
          </w:p>
        </w:tc>
        <w:tc>
          <w:tcPr>
            <w:tcW w:w="100" w:type="dxa"/>
            <w:vAlign w:val="bottom"/>
            <w:shd w:val="clear" w:color="auto" w:fill="CFF0FC"/>
          </w:tcPr>
          <w:p>
            <w:pPr>
              <w:spacing w:after="0"/>
              <w:rPr>
                <w:sz w:val="17"/>
                <w:szCs w:val="17"/>
                <w:color w:val="auto"/>
              </w:rPr>
            </w:pPr>
          </w:p>
        </w:tc>
        <w:tc>
          <w:tcPr>
            <w:tcW w:w="1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14,173,869</w:t>
            </w:r>
          </w:p>
        </w:tc>
        <w:tc>
          <w:tcPr>
            <w:tcW w:w="0" w:type="dxa"/>
            <w:vAlign w:val="bottom"/>
          </w:tcPr>
          <w:p>
            <w:pPr>
              <w:spacing w:after="0"/>
              <w:rPr>
                <w:sz w:val="1"/>
                <w:szCs w:val="1"/>
                <w:color w:val="auto"/>
              </w:rPr>
            </w:pPr>
          </w:p>
        </w:tc>
      </w:tr>
      <w:tr>
        <w:trPr>
          <w:trHeight w:val="126"/>
        </w:trPr>
        <w:tc>
          <w:tcPr>
            <w:tcW w:w="280" w:type="dxa"/>
            <w:vAlign w:val="bottom"/>
            <w:vMerge w:val="continue"/>
            <w:shd w:val="clear" w:color="auto" w:fill="CFF0FC"/>
          </w:tcPr>
          <w:p>
            <w:pPr>
              <w:spacing w:after="0"/>
              <w:rPr>
                <w:sz w:val="10"/>
                <w:szCs w:val="10"/>
                <w:color w:val="auto"/>
              </w:rPr>
            </w:pPr>
          </w:p>
        </w:tc>
        <w:tc>
          <w:tcPr>
            <w:tcW w:w="498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CIT N</w:t>
            </w:r>
          </w:p>
        </w:tc>
        <w:tc>
          <w:tcPr>
            <w:tcW w:w="120" w:type="dxa"/>
            <w:vAlign w:val="bottom"/>
            <w:shd w:val="clear" w:color="auto" w:fill="CFF0FC"/>
          </w:tcPr>
          <w:p>
            <w:pPr>
              <w:spacing w:after="0"/>
              <w:rPr>
                <w:sz w:val="10"/>
                <w:szCs w:val="10"/>
                <w:color w:val="auto"/>
              </w:rPr>
            </w:pPr>
          </w:p>
        </w:tc>
        <w:tc>
          <w:tcPr>
            <w:tcW w:w="2700" w:type="dxa"/>
            <w:vAlign w:val="bottom"/>
            <w:vMerge w:val="continue"/>
            <w:shd w:val="clear" w:color="auto" w:fill="CFF0FC"/>
          </w:tcPr>
          <w:p>
            <w:pPr>
              <w:spacing w:after="0"/>
              <w:rPr>
                <w:sz w:val="10"/>
                <w:szCs w:val="10"/>
                <w:color w:val="auto"/>
              </w:rPr>
            </w:pPr>
          </w:p>
        </w:tc>
        <w:tc>
          <w:tcPr>
            <w:tcW w:w="1660" w:type="dxa"/>
            <w:vAlign w:val="bottom"/>
            <w:gridSpan w:val="3"/>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FF0FC"/>
          </w:tcPr>
          <w:p>
            <w:pPr>
              <w:spacing w:after="0"/>
              <w:rPr>
                <w:sz w:val="9"/>
                <w:szCs w:val="9"/>
                <w:color w:val="auto"/>
              </w:rPr>
            </w:pPr>
          </w:p>
        </w:tc>
        <w:tc>
          <w:tcPr>
            <w:tcW w:w="49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Allspring Core Bond R6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313,635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American Century Small Cap Value R6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American Funds Europacific Growth Fund R6</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46,388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American Funds New Perspective Fund R6</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203,393</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14,373,779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Cohen &amp; Steers Real Estate Securities Fund Z</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Fidelity Balanced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330,495</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10,622,117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John Hancock Disciplined Value MidCap Fund R6</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169,656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 Rowe Price Mid Cap Growth Fund I</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35,891</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Developed Markets Index Fund Admiral</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71,452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Explorer Fund Admiral</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Institutional Index Fund Institutional</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37,297</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20,590,794</w:t>
            </w: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REIT Index Fund Admiral</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Small Cap Index Fund Institutional</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60,994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Income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95,567</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2020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32,707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2025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81,488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2030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157,674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2035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203,846</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2040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196,064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2045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301,986</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10,490,989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2050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237,848</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14,099,623</w:t>
            </w: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2055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102,178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2060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64,890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2065 Fund</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Vanguard Target Retirement 2070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Mutual funds</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CFF0FC"/>
          </w:tcPr>
          <w:p>
            <w:pPr>
              <w:spacing w:after="0"/>
              <w:rPr>
                <w:sz w:val="21"/>
                <w:szCs w:val="21"/>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Self Directed Accounts</w:t>
            </w:r>
          </w:p>
        </w:tc>
        <w:tc>
          <w:tcPr>
            <w:tcW w:w="120" w:type="dxa"/>
            <w:vAlign w:val="bottom"/>
            <w:shd w:val="clear" w:color="auto" w:fill="CFF0FC"/>
          </w:tcPr>
          <w:p>
            <w:pPr>
              <w:spacing w:after="0"/>
              <w:rPr>
                <w:sz w:val="21"/>
                <w:szCs w:val="21"/>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Self directed accounts</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10,746,270</w:t>
            </w:r>
          </w:p>
        </w:tc>
        <w:tc>
          <w:tcPr>
            <w:tcW w:w="0" w:type="dxa"/>
            <w:vAlign w:val="bottom"/>
          </w:tcPr>
          <w:p>
            <w:pPr>
              <w:spacing w:after="0"/>
              <w:rPr>
                <w:sz w:val="1"/>
                <w:szCs w:val="1"/>
                <w:color w:val="auto"/>
              </w:rPr>
            </w:pPr>
          </w:p>
        </w:tc>
      </w:tr>
      <w:tr>
        <w:trPr>
          <w:trHeight w:val="216"/>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Regency Centers Corporation Common Stock Fund</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124,335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79 participant loans with interest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Participant Loans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4"/>
                <w:szCs w:val="24"/>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rates ranging from 4.25% to 9.50%</w:t>
            </w:r>
          </w:p>
        </w:tc>
        <w:tc>
          <w:tcPr>
            <w:tcW w:w="10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7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6"/>
                <w:szCs w:val="16"/>
                <w:color w:val="auto"/>
              </w:rPr>
              <w:t>and maturity dates ranging from</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2026 to March 2039</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Party-in-interest to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Column (d), cost, has been omitted as all investments are participant directed</w:t>
      </w:r>
    </w:p>
    <w:p>
      <w:pPr>
        <w:spacing w:after="0" w:line="9" w:lineRule="exact"/>
        <w:rPr>
          <w:sz w:val="20"/>
          <w:szCs w:val="20"/>
          <w:color w:val="auto"/>
        </w:rPr>
      </w:pPr>
    </w:p>
    <w:p>
      <w:pPr>
        <w:ind w:right="1120" w:firstLine="8"/>
        <w:spacing w:after="0" w:line="501" w:lineRule="auto"/>
        <w:tabs>
          <w:tab w:leader="none" w:pos="185"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Participant loans are reported as Notes receivable from participants in the accompanying Statements of Net Assets Available for Benefits. See accompanying report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4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6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796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Jamie A. Conroy</w:t>
            </w:r>
          </w:p>
        </w:tc>
      </w:tr>
      <w:tr>
        <w:trPr>
          <w:trHeight w:val="228"/>
        </w:trPr>
        <w:tc>
          <w:tcPr>
            <w:tcW w:w="3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Jamie A. Conroy, Vice President, Human Resources</w:t>
            </w:r>
          </w:p>
        </w:tc>
      </w:tr>
      <w:tr>
        <w:trPr>
          <w:trHeight w:val="630"/>
        </w:trPr>
        <w:tc>
          <w:tcPr>
            <w:tcW w:w="3280" w:type="dxa"/>
            <w:vAlign w:val="bottom"/>
          </w:tcPr>
          <w:p>
            <w:pPr>
              <w:spacing w:after="0"/>
              <w:rPr>
                <w:sz w:val="24"/>
                <w:szCs w:val="24"/>
                <w:color w:val="auto"/>
              </w:rPr>
            </w:pPr>
          </w:p>
        </w:tc>
        <w:tc>
          <w:tcPr>
            <w:tcW w:w="3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w:t>
            </w:r>
          </w:p>
        </w:tc>
        <w:tc>
          <w:tcPr>
            <w:tcW w:w="492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40" w:type="dxa"/>
            <w:vAlign w:val="bottom"/>
            <w:gridSpan w:val="2"/>
          </w:tcPr>
          <w:p>
            <w:pPr>
              <w:jc w:val="center"/>
              <w:ind w:right="3000"/>
              <w:spacing w:after="0"/>
              <w:rPr>
                <w:sz w:val="20"/>
                <w:szCs w:val="20"/>
                <w:color w:val="auto"/>
              </w:rPr>
            </w:pPr>
            <w:r>
              <w:rPr>
                <w:rFonts w:ascii="Times New Roman" w:cs="Times New Roman" w:eastAsia="Times New Roman" w:hAnsi="Times New Roman"/>
                <w:sz w:val="22"/>
                <w:szCs w:val="22"/>
                <w:b w:val="1"/>
                <w:bCs w:val="1"/>
                <w:color w:val="auto"/>
                <w:w w:val="98"/>
              </w:rPr>
              <w:t>EXHIBIT INDEX</w:t>
            </w:r>
          </w:p>
        </w:tc>
      </w:tr>
      <w:tr>
        <w:trPr>
          <w:trHeight w:val="407"/>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240" w:type="dxa"/>
            <w:vAlign w:val="bottom"/>
            <w:gridSpan w:val="2"/>
          </w:tcPr>
          <w:p>
            <w:pPr>
              <w:spacing w:after="0"/>
              <w:rPr>
                <w:sz w:val="24"/>
                <w:szCs w:val="24"/>
                <w:color w:val="auto"/>
              </w:rPr>
            </w:pPr>
          </w:p>
        </w:tc>
      </w:tr>
      <w:tr>
        <w:trPr>
          <w:trHeight w:val="412"/>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 Forvis Mazars, LLP</w:t>
            </w:r>
          </w:p>
        </w:tc>
        <w:tc>
          <w:tcPr>
            <w:tcW w:w="3940" w:type="dxa"/>
            <w:vAlign w:val="bottom"/>
          </w:tcPr>
          <w:p>
            <w:pPr>
              <w:spacing w:after="0"/>
              <w:rPr>
                <w:sz w:val="24"/>
                <w:szCs w:val="24"/>
                <w:color w:val="auto"/>
              </w:rPr>
            </w:pPr>
          </w:p>
        </w:tc>
      </w:tr>
      <w:tr>
        <w:trPr>
          <w:trHeight w:val="6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80" w:type="dxa"/>
            <w:vAlign w:val="bottom"/>
            <w:gridSpan w:val="3"/>
          </w:tcPr>
          <w:p>
            <w:pPr>
              <w:jc w:val="right"/>
              <w:ind w:right="1472"/>
              <w:spacing w:after="0"/>
              <w:rPr>
                <w:sz w:val="20"/>
                <w:szCs w:val="20"/>
                <w:color w:val="auto"/>
              </w:rPr>
            </w:pPr>
            <w:r>
              <w:rPr>
                <w:rFonts w:ascii="Times New Roman" w:cs="Times New Roman" w:eastAsia="Times New Roman" w:hAnsi="Times New Roman"/>
                <w:sz w:val="18"/>
                <w:szCs w:val="18"/>
                <w:color w:val="auto"/>
              </w:rPr>
              <w:t>12</w:t>
            </w:r>
          </w:p>
        </w:tc>
        <w:tc>
          <w:tcPr>
            <w:tcW w:w="39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S-8 (Nos. 333-149872 and 333-239423) of our report dated June 17, 2026, with respect to the financial statements and supplemental schedule of Regency Centers 401(k) Profit Sharing Plan included in this Annual Report on Form 11-K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2026-06-17T15:13:58Z</dcterms:created>
  <dcterms:modified xsi:type="dcterms:W3CDTF">2026-06-17T15:13:58Z</dcterms:modified>
</cp:coreProperties>
</file>